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A9" w:rsidRDefault="007104FD">
      <w:bookmarkStart w:id="0" w:name="_GoBack"/>
      <w:bookmarkEnd w:id="0"/>
      <w:r>
        <w:rPr>
          <w:noProof/>
          <w:color w:val="0000FF"/>
          <w:lang w:eastAsia="fr-FR"/>
        </w:rPr>
        <w:drawing>
          <wp:inline distT="0" distB="0" distL="0" distR="0" wp14:anchorId="6E10AC0D" wp14:editId="10A55993">
            <wp:extent cx="1526540" cy="866775"/>
            <wp:effectExtent l="0" t="0" r="0" b="9525"/>
            <wp:docPr id="1" name="Image 1" descr="logoSantePubliqu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_element_1" descr="logoSantePubliqu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FD" w:rsidRPr="007104FD" w:rsidRDefault="007104FD" w:rsidP="007104FD">
      <w:pPr>
        <w:jc w:val="right"/>
        <w:rPr>
          <w:rFonts w:ascii="Arial Narrow" w:hAnsi="Arial Narrow"/>
          <w:b/>
          <w:sz w:val="20"/>
          <w:szCs w:val="20"/>
        </w:rPr>
      </w:pPr>
      <w:r w:rsidRPr="007104FD">
        <w:rPr>
          <w:rFonts w:ascii="Arial Narrow" w:hAnsi="Arial Narrow"/>
          <w:b/>
          <w:sz w:val="20"/>
          <w:szCs w:val="20"/>
        </w:rPr>
        <w:t>PROFIL DE POSTE</w:t>
      </w:r>
    </w:p>
    <w:p w:rsidR="00BE075C" w:rsidRPr="005B393A" w:rsidRDefault="00620579" w:rsidP="007104FD">
      <w:pPr>
        <w:spacing w:after="0"/>
        <w:rPr>
          <w:rFonts w:ascii="Arial Narrow" w:hAnsi="Arial Narrow"/>
          <w:b/>
          <w:sz w:val="20"/>
          <w:szCs w:val="20"/>
        </w:rPr>
      </w:pPr>
      <w:r w:rsidRPr="005B393A">
        <w:rPr>
          <w:rFonts w:ascii="Arial Narrow" w:hAnsi="Arial Narrow"/>
          <w:b/>
          <w:sz w:val="20"/>
          <w:szCs w:val="20"/>
        </w:rPr>
        <w:t xml:space="preserve">Référence : </w:t>
      </w:r>
      <w:r w:rsidR="005B393A" w:rsidRPr="005B393A">
        <w:rPr>
          <w:rFonts w:ascii="Arial Narrow" w:eastAsia="Times New Roman" w:hAnsi="Arial Narrow" w:cs="Arial"/>
          <w:b/>
          <w:sz w:val="20"/>
          <w:szCs w:val="20"/>
          <w:lang w:eastAsia="fr-FR"/>
        </w:rPr>
        <w:t>DSIN-1 - 2024</w:t>
      </w:r>
    </w:p>
    <w:p w:rsidR="007104FD" w:rsidRDefault="007104FD" w:rsidP="007104FD">
      <w:pPr>
        <w:jc w:val="right"/>
        <w:rPr>
          <w:rFonts w:ascii="Arial Narrow" w:eastAsia="Times New Roman" w:hAnsi="Arial Narrow" w:cs="Arial"/>
          <w:sz w:val="16"/>
          <w:szCs w:val="16"/>
          <w:lang w:eastAsia="fr-FR"/>
        </w:rPr>
      </w:pPr>
      <w:r w:rsidRPr="00EA5C86">
        <w:rPr>
          <w:rFonts w:ascii="Arial Narrow" w:eastAsia="Times New Roman" w:hAnsi="Arial Narrow" w:cs="Arial"/>
          <w:sz w:val="16"/>
          <w:szCs w:val="16"/>
          <w:lang w:eastAsia="fr-FR"/>
        </w:rPr>
        <w:t xml:space="preserve">Poste ouvert aux personnes </w:t>
      </w:r>
      <w:r>
        <w:rPr>
          <w:rFonts w:ascii="Arial Narrow" w:eastAsia="Times New Roman" w:hAnsi="Arial Narrow" w:cs="Arial"/>
          <w:sz w:val="16"/>
          <w:szCs w:val="16"/>
          <w:lang w:eastAsia="fr-FR"/>
        </w:rPr>
        <w:t>en situation de handicap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A60121">
            <w:pPr>
              <w:tabs>
                <w:tab w:val="left" w:pos="708"/>
                <w:tab w:val="left" w:pos="3208"/>
              </w:tabs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7D6C9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POSTE</w:t>
            </w:r>
            <w:r w:rsidRPr="007D6C9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ab/>
            </w:r>
            <w:r w:rsidR="00A60121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Apprenti </w:t>
            </w:r>
            <w:r w:rsidR="00554451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« </w:t>
            </w:r>
            <w:r w:rsidR="00A60121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Ouverture et dialogue avec la société</w:t>
            </w:r>
            <w:r w:rsidR="00554451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 »</w:t>
            </w:r>
          </w:p>
        </w:tc>
      </w:tr>
      <w:tr w:rsidR="008A38D9" w:rsidTr="002F0A01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0170A2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Poste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F81DCB" w:rsidRDefault="00A60121" w:rsidP="00FD075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Apprenti </w:t>
            </w:r>
            <w:r w:rsidR="00FD075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« 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uverture et dialogue avec la société</w:t>
            </w:r>
            <w:r w:rsidR="00FD075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»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BB0AA7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BB0AA7" w:rsidRDefault="008A38D9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A38D9" w:rsidTr="002F0A01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BB0AA7" w:rsidRDefault="008A38D9" w:rsidP="00DF72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BB0AA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Type de contrat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9E0BED" w:rsidRDefault="008A38D9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9E0BED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Contrat d’apprentissage de 12 mois.</w:t>
            </w:r>
          </w:p>
          <w:p w:rsidR="008A38D9" w:rsidRPr="009E0BED" w:rsidRDefault="008A38D9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BB0AA7" w:rsidRDefault="008A38D9" w:rsidP="00DF72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BB0AA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Rémunération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BB0AA7" w:rsidRDefault="008A38D9" w:rsidP="005B2BF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Selon barème applicable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BB0AA7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BB0AA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Prise de fonction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8D9" w:rsidRPr="00BB0AA7" w:rsidRDefault="00A60121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D0757">
              <w:rPr>
                <w:rFonts w:ascii="Arial Narrow" w:hAnsi="Arial Narrow"/>
                <w:sz w:val="20"/>
                <w:szCs w:val="20"/>
              </w:rPr>
              <w:t>Septembre</w:t>
            </w:r>
            <w:r w:rsidR="008A38D9" w:rsidRPr="00FD0757">
              <w:rPr>
                <w:rFonts w:ascii="Arial Narrow" w:hAnsi="Arial Narrow"/>
                <w:sz w:val="20"/>
                <w:szCs w:val="20"/>
              </w:rPr>
              <w:t xml:space="preserve"> 202</w:t>
            </w:r>
            <w:r w:rsidR="001308D3" w:rsidRPr="00FD075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D0757" w:rsidRDefault="00FD0757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Renseignements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FD0757" w:rsidRDefault="00FD0757" w:rsidP="00F8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A38D9" w:rsidRPr="009E0BED" w:rsidRDefault="008A38D9" w:rsidP="00F81DCB">
            <w:pPr>
              <w:rPr>
                <w:rStyle w:val="normaltextrun"/>
                <w:rFonts w:ascii="Arial Narrow" w:hAnsi="Arial Narrow" w:cs="Calibri Light"/>
                <w:color w:val="000000"/>
                <w:sz w:val="20"/>
                <w:bdr w:val="none" w:sz="0" w:space="0" w:color="auto" w:frame="1"/>
              </w:rPr>
            </w:pPr>
            <w:r w:rsidRPr="009E0BED">
              <w:rPr>
                <w:rFonts w:ascii="Arial Narrow" w:hAnsi="Arial Narrow" w:cs="Arial"/>
                <w:sz w:val="20"/>
                <w:szCs w:val="20"/>
              </w:rPr>
              <w:t xml:space="preserve">Sur le poste : Anne-Catherine VISO, Directrice - </w:t>
            </w:r>
            <w:r w:rsidRPr="009E0BED">
              <w:rPr>
                <w:rStyle w:val="normaltextrun"/>
                <w:rFonts w:ascii="Arial Narrow" w:hAnsi="Arial Narrow" w:cs="Calibri Light"/>
                <w:color w:val="000000"/>
                <w:sz w:val="20"/>
                <w:bdr w:val="none" w:sz="0" w:space="0" w:color="auto" w:frame="1"/>
              </w:rPr>
              <w:t>Direction Scientifique et International</w:t>
            </w:r>
            <w:r>
              <w:rPr>
                <w:rStyle w:val="normaltextrun"/>
                <w:rFonts w:ascii="Arial Narrow" w:hAnsi="Arial Narrow" w:cs="Calibri Light"/>
                <w:color w:val="000000"/>
                <w:sz w:val="20"/>
                <w:bdr w:val="none" w:sz="0" w:space="0" w:color="auto" w:frame="1"/>
              </w:rPr>
              <w:t xml:space="preserve"> </w:t>
            </w:r>
            <w:r w:rsidRPr="009E0BED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9E0BED">
              <w:rPr>
                <w:rStyle w:val="normaltextrun"/>
                <w:rFonts w:ascii="Arial Narrow" w:hAnsi="Arial Narrow" w:cs="Calibri Light"/>
                <w:color w:val="000000"/>
                <w:sz w:val="20"/>
                <w:bdr w:val="none" w:sz="0" w:space="0" w:color="auto" w:frame="1"/>
              </w:rPr>
              <w:t xml:space="preserve"> anne-catherine.viso@santepubliquefrance.fr</w:t>
            </w:r>
          </w:p>
          <w:p w:rsidR="008A38D9" w:rsidRPr="009E0BED" w:rsidRDefault="008A38D9" w:rsidP="00F81DC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A38D9" w:rsidRPr="009E0BED" w:rsidRDefault="008A38D9" w:rsidP="00E724BE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9E0BED">
              <w:rPr>
                <w:rFonts w:ascii="Arial Narrow" w:hAnsi="Arial Narrow" w:cs="Arial"/>
                <w:sz w:val="20"/>
                <w:szCs w:val="20"/>
              </w:rPr>
              <w:t>Sur le recrutement</w:t>
            </w: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9E0BED">
              <w:rPr>
                <w:rFonts w:ascii="Arial Narrow" w:hAnsi="Arial Narrow" w:cs="Arial"/>
                <w:sz w:val="20"/>
                <w:szCs w:val="20"/>
              </w:rPr>
              <w:t>: Nathalie LEFEVRE, Chargée de missions RH – tél : 01 41 79 69 08</w:t>
            </w: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081E2F">
            <w:pPr>
              <w:tabs>
                <w:tab w:val="left" w:pos="708"/>
                <w:tab w:val="left" w:pos="3208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081E2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LOCALISATION GEOGRAPHIQUE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081E2F" w:rsidRDefault="008A38D9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8A38D9" w:rsidP="00F81D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26CB">
              <w:rPr>
                <w:rFonts w:ascii="Arial Narrow" w:hAnsi="Arial Narrow" w:cs="Arial"/>
                <w:sz w:val="20"/>
                <w:szCs w:val="20"/>
              </w:rPr>
              <w:t>Le siège de l’agence est situé à Saint-Maurice (94)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A38D9" w:rsidRPr="00A626CB" w:rsidRDefault="008A38D9" w:rsidP="00F81DCB">
            <w:pPr>
              <w:rPr>
                <w:rFonts w:ascii="Arial Narrow" w:hAnsi="Arial Narrow" w:cs="Arial"/>
                <w:sz w:val="20"/>
                <w:szCs w:val="20"/>
              </w:rPr>
            </w:pPr>
            <w:r w:rsidRPr="00A626CB">
              <w:rPr>
                <w:rFonts w:ascii="Arial Narrow" w:hAnsi="Arial Narrow" w:cs="Arial"/>
                <w:sz w:val="20"/>
                <w:szCs w:val="20"/>
              </w:rPr>
              <w:t xml:space="preserve">L’agence dispose d’implantations régionales auprès des agences régionales de la santé. </w:t>
            </w:r>
          </w:p>
          <w:p w:rsidR="008A38D9" w:rsidRPr="00D26A3F" w:rsidRDefault="008A38D9" w:rsidP="00F81DCB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Localisation du poste</w:t>
            </w:r>
            <w:r w:rsidRPr="004A730A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D26A3F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Site de Saint-Maurice (siège) -</w:t>
            </w:r>
            <w:r w:rsidRPr="00A626CB">
              <w:rPr>
                <w:rFonts w:ascii="Arial Narrow" w:hAnsi="Arial Narrow" w:cs="Arial"/>
                <w:sz w:val="20"/>
                <w:szCs w:val="20"/>
              </w:rPr>
              <w:t xml:space="preserve"> 12 rue du Val d’</w:t>
            </w:r>
            <w:proofErr w:type="spellStart"/>
            <w:r w:rsidRPr="00A626CB">
              <w:rPr>
                <w:rFonts w:ascii="Arial Narrow" w:hAnsi="Arial Narrow" w:cs="Arial"/>
                <w:sz w:val="20"/>
                <w:szCs w:val="20"/>
              </w:rPr>
              <w:t>Osne</w:t>
            </w:r>
            <w:proofErr w:type="spellEnd"/>
            <w:r w:rsidRPr="00A626CB">
              <w:rPr>
                <w:rFonts w:ascii="Arial Narrow" w:hAnsi="Arial Narrow" w:cs="Arial"/>
                <w:sz w:val="20"/>
                <w:szCs w:val="20"/>
              </w:rPr>
              <w:t xml:space="preserve"> à Saint-Maurice (94)</w:t>
            </w:r>
            <w:r>
              <w:rPr>
                <w:rFonts w:ascii="Arial Narrow" w:hAnsi="Arial Narrow" w:cs="Arial"/>
                <w:sz w:val="20"/>
                <w:szCs w:val="20"/>
              </w:rPr>
              <w:t> ;</w:t>
            </w: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081E2F" w:rsidRDefault="008A38D9" w:rsidP="00081E2F">
            <w:pPr>
              <w:tabs>
                <w:tab w:val="left" w:pos="708"/>
                <w:tab w:val="left" w:pos="3208"/>
              </w:tabs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081E2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PRESENTATION DE L’AGENCE</w:t>
            </w:r>
          </w:p>
        </w:tc>
      </w:tr>
      <w:tr w:rsidR="008A38D9" w:rsidTr="002F0A01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8D9" w:rsidRPr="00EB555C" w:rsidRDefault="008A38D9" w:rsidP="00EC4F5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B555C">
              <w:rPr>
                <w:rFonts w:ascii="Arial Narrow" w:hAnsi="Arial Narrow" w:cs="Arial"/>
                <w:sz w:val="20"/>
                <w:szCs w:val="20"/>
              </w:rPr>
              <w:t xml:space="preserve">Santé publique France est l’agence nationale de santé publique française. Etablissement public de l’Etat sous tutelle du </w:t>
            </w:r>
            <w:r>
              <w:rPr>
                <w:rFonts w:ascii="Arial Narrow" w:hAnsi="Arial Narrow" w:cs="Arial"/>
                <w:sz w:val="20"/>
                <w:szCs w:val="20"/>
              </w:rPr>
              <w:t>ministre chargé de la santé créée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t xml:space="preserve"> par l’ordonnance 2016-246 du 15 avril 2016, elle intervient au service de la santé des populations. Agence scientifique et d’expertise du champ sanitaire, elle a pour missions : </w:t>
            </w:r>
          </w:p>
          <w:p w:rsidR="008A38D9" w:rsidRPr="00EB555C" w:rsidRDefault="008A38D9" w:rsidP="00EC4F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555C">
              <w:rPr>
                <w:rFonts w:ascii="Arial Narrow" w:hAnsi="Arial Narrow" w:cs="Arial"/>
                <w:sz w:val="20"/>
                <w:szCs w:val="20"/>
              </w:rPr>
              <w:t xml:space="preserve">1° L'observation épidémiologique et la surveillance de l'état de santé des populations ; 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br/>
              <w:t xml:space="preserve">2° La veille sur les risques sanitaires menaçant les populations ; 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br/>
              <w:t xml:space="preserve">3° La promotion de la santé et la réduction des risques pour la santé ; 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br/>
              <w:t xml:space="preserve">4° Le développement de la prévention et de l'éducation pour la santé ; 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br/>
              <w:t xml:space="preserve">5° La préparation et la réponse aux menaces, alertes et crises sanitaires ; </w:t>
            </w:r>
            <w:r w:rsidRPr="00EB555C">
              <w:rPr>
                <w:rFonts w:ascii="Arial Narrow" w:hAnsi="Arial Narrow" w:cs="Arial"/>
                <w:sz w:val="20"/>
                <w:szCs w:val="20"/>
              </w:rPr>
              <w:br/>
              <w:t>6° Le lancement de l'alerte sanitaire.</w:t>
            </w:r>
          </w:p>
          <w:p w:rsidR="008A38D9" w:rsidRPr="00F81DCB" w:rsidRDefault="008A38D9" w:rsidP="00EC4F5F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D0720D">
              <w:rPr>
                <w:rFonts w:ascii="Arial Narrow" w:hAnsi="Arial Narrow" w:cs="Arial"/>
                <w:sz w:val="20"/>
                <w:szCs w:val="20"/>
              </w:rPr>
              <w:t>Santé publique France est dirigée par une directrice générale, assistée d’une directrice générale adjointe, d’une directrice scientifique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et d’une directrice de cabinet. L’Agence est organisée autour de quatre conseils (Conseil d’Administration, Conseil scientifique,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Comité d’Ethique et de Déontologie et Comité d’orientation et de dialogue), de directions scientifiques et transversales, et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directions assurant le support et le soutien à l’activité. L’Agence dispose d’implantations régionales (Cellules régionales) auprès 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agences régionales de la santé. Son programme de travail, arrêté par son Conseil d’administration, s’articule autour de 6 grands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enjeux : anticipation, préparation et réponse aux menaces de santé publique, dont les épidémies ; numérique en santé publique ;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Santé environnementale, changement climatique, environnements de travail ; fardeau des maladies et de leurs déterminants,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efficacité des interventions et retour sur investissement de la prévention ; Stratégie de prévention, marketing social et approche par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0720D">
              <w:rPr>
                <w:rFonts w:ascii="Arial Narrow" w:hAnsi="Arial Narrow" w:cs="Arial"/>
                <w:sz w:val="20"/>
                <w:szCs w:val="20"/>
              </w:rPr>
              <w:t>populations ; Inégalités sociales, vulnérabilités territoriales.</w:t>
            </w:r>
          </w:p>
        </w:tc>
      </w:tr>
      <w:tr w:rsidR="008A38D9" w:rsidRPr="007D6C98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5B2BF5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D6C9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  <w:t>AFFECTATION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EC4F5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Direction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8A38D9" w:rsidP="00EC4F5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Direction Scientifique et International (DSIn)</w:t>
            </w:r>
          </w:p>
          <w:p w:rsidR="008A38D9" w:rsidRPr="00FE3021" w:rsidRDefault="008A38D9" w:rsidP="00EC4F5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 D</w:t>
            </w: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irection Scientifique et International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, en tant que direction transversale</w:t>
            </w: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a pour missions principales:</w:t>
            </w:r>
          </w:p>
          <w:p w:rsidR="008A38D9" w:rsidRPr="00FE3021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L’appui à la stratégie de l’Agence, à sa politique scientifique et au développement de l’expertise en santé publique</w:t>
            </w:r>
          </w:p>
          <w:p w:rsidR="008A38D9" w:rsidRPr="00FE3021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 gestion des connaissances et de l’information scientifique et technique au service de la qualité scientifique et de l’expertise de l’agence</w:t>
            </w:r>
          </w:p>
          <w:p w:rsidR="008A38D9" w:rsidRPr="00FE3021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Le renforcement des compétences collectives en santé publique </w:t>
            </w:r>
          </w:p>
          <w:p w:rsidR="008A38D9" w:rsidRPr="00FE3021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 collaboration européenne et internationale, la participation aux instances européennes, le soutien à l’élaboration des positions françaises</w:t>
            </w:r>
          </w:p>
          <w:p w:rsidR="008A38D9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La gestion de l’archivage (Records management) et la valorisation du patrimoine scientifique et intellectuel de l’Agence </w:t>
            </w:r>
          </w:p>
          <w:p w:rsidR="008A38D9" w:rsidRDefault="008A38D9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 coordination du programme inégalités sociales et territoriales de santé</w:t>
            </w:r>
          </w:p>
          <w:p w:rsidR="00BF05F2" w:rsidRPr="00FE3021" w:rsidRDefault="00BF05F2" w:rsidP="00EC4F5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L’appui à la stratégie de l’agence en matière d’ouverture et de dialogue. </w:t>
            </w:r>
          </w:p>
          <w:p w:rsidR="008A38D9" w:rsidRPr="00FE3021" w:rsidRDefault="008A38D9" w:rsidP="00EC4F5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La Direction est composée d’une vingtaine d’agents, elle accueille régulièreme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nt des apprentis et stagiaires.</w:t>
            </w:r>
          </w:p>
          <w:p w:rsidR="008A38D9" w:rsidRPr="00F81DCB" w:rsidRDefault="008A38D9" w:rsidP="00EC4F5F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lastRenderedPageBreak/>
              <w:t>La Direction assure le secrétariat de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trois</w:t>
            </w: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instances de gouvernance : conseil scientifique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, comité d’orientation et de dialogue et </w:t>
            </w:r>
            <w:r w:rsidRPr="00FE3021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comité d’éthique et de déontologie. 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26A3F" w:rsidRDefault="008A38D9" w:rsidP="00D26A3F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5B2BF5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D6C9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  <w:t>DESCRIPTION DU POSTE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8A38D9" w:rsidP="005B2BF5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  <w:p w:rsidR="008A38D9" w:rsidRDefault="008A38D9" w:rsidP="005B2BF5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  <w:p w:rsidR="008A38D9" w:rsidRDefault="008A38D9" w:rsidP="005B2BF5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8A38D9" w:rsidP="005B2BF5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fr-FR"/>
              </w:rPr>
            </w:pPr>
            <w:r w:rsidRPr="005B2BF5">
              <w:rPr>
                <w:rFonts w:ascii="Arial Narrow" w:eastAsia="Times New Roman" w:hAnsi="Arial Narrow" w:cs="Arial"/>
                <w:i/>
                <w:sz w:val="16"/>
                <w:szCs w:val="16"/>
                <w:lang w:eastAsia="fr-FR"/>
              </w:rPr>
              <w:t>Pour ne pas alourdir le texte, nous nous conformons à la règle qui permet d’utiliser le masculin avec la valeur de neutre.</w:t>
            </w:r>
          </w:p>
          <w:p w:rsidR="008A38D9" w:rsidRDefault="008A38D9" w:rsidP="00BD2365">
            <w:pPr>
              <w:rPr>
                <w:rFonts w:ascii="Arial Narrow" w:hAnsi="Arial Narrow"/>
                <w:sz w:val="20"/>
              </w:rPr>
            </w:pPr>
          </w:p>
          <w:p w:rsidR="008A38D9" w:rsidRDefault="008A38D9" w:rsidP="00BD23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Pr="00BD2365">
              <w:rPr>
                <w:rFonts w:ascii="Arial Narrow" w:hAnsi="Arial Narrow"/>
                <w:sz w:val="20"/>
              </w:rPr>
              <w:t>ous la supervision</w:t>
            </w:r>
            <w:r>
              <w:rPr>
                <w:rFonts w:ascii="Arial Narrow" w:hAnsi="Arial Narrow"/>
                <w:sz w:val="20"/>
              </w:rPr>
              <w:t xml:space="preserve"> la chargée de mission « Ouverture et dialogue avec la société », l’apprenti contribuera activement à la réalisation des missions et activités suivantes : </w:t>
            </w:r>
          </w:p>
          <w:p w:rsidR="008A38D9" w:rsidRPr="005B2BF5" w:rsidRDefault="008A38D9" w:rsidP="00BD2365">
            <w:pPr>
              <w:rPr>
                <w:rFonts w:ascii="Arial Narrow" w:eastAsia="Times New Roman" w:hAnsi="Arial Narrow" w:cs="Arial"/>
                <w:i/>
                <w:sz w:val="16"/>
                <w:szCs w:val="16"/>
                <w:lang w:eastAsia="fr-FR"/>
              </w:rPr>
            </w:pPr>
          </w:p>
        </w:tc>
      </w:tr>
      <w:tr w:rsidR="008A38D9" w:rsidTr="008A38D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Missions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/ Activités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8A38D9" w:rsidP="00D26A3F">
            <w:pPr>
              <w:jc w:val="both"/>
              <w:rPr>
                <w:rFonts w:ascii="Arial Narrow" w:hAnsi="Arial Narrow"/>
                <w:sz w:val="20"/>
                <w:u w:val="single"/>
              </w:rPr>
            </w:pPr>
            <w:r w:rsidRPr="00BB0AA7">
              <w:rPr>
                <w:rFonts w:ascii="Arial Narrow" w:hAnsi="Arial Narrow"/>
                <w:sz w:val="20"/>
                <w:u w:val="single"/>
              </w:rPr>
              <w:t>Appui à la structuration, à la planification et au suivi du programme de travail de l’agence</w:t>
            </w:r>
            <w:r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BB0AA7">
              <w:rPr>
                <w:rFonts w:ascii="Arial Narrow" w:hAnsi="Arial Narrow"/>
                <w:sz w:val="20"/>
                <w:u w:val="single"/>
              </w:rPr>
              <w:t>pour les actions suivantes</w:t>
            </w:r>
            <w:r>
              <w:rPr>
                <w:rFonts w:ascii="Arial Narrow" w:hAnsi="Arial Narrow"/>
                <w:sz w:val="20"/>
                <w:u w:val="single"/>
              </w:rPr>
              <w:t> </w:t>
            </w:r>
            <w:r w:rsidRPr="00BB0AA7">
              <w:rPr>
                <w:rFonts w:ascii="Arial Narrow" w:hAnsi="Arial Narrow"/>
                <w:sz w:val="20"/>
                <w:u w:val="single"/>
              </w:rPr>
              <w:t>:</w:t>
            </w:r>
          </w:p>
          <w:p w:rsidR="008A38D9" w:rsidRDefault="008A38D9" w:rsidP="00D26A3F">
            <w:pPr>
              <w:jc w:val="both"/>
              <w:rPr>
                <w:rFonts w:ascii="Arial Narrow" w:hAnsi="Arial Narrow"/>
                <w:sz w:val="20"/>
                <w:u w:val="single"/>
              </w:rPr>
            </w:pPr>
          </w:p>
          <w:p w:rsidR="00325D25" w:rsidRDefault="008A38D9" w:rsidP="005F06ED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Appui aux activités du C</w:t>
            </w:r>
            <w:r w:rsidR="006D527D">
              <w:rPr>
                <w:rFonts w:ascii="Arial Narrow" w:hAnsi="Arial Narrow"/>
                <w:sz w:val="20"/>
                <w:u w:val="single"/>
              </w:rPr>
              <w:t xml:space="preserve">omité </w:t>
            </w:r>
            <w:r>
              <w:rPr>
                <w:rFonts w:ascii="Arial Narrow" w:hAnsi="Arial Narrow"/>
                <w:sz w:val="20"/>
                <w:u w:val="single"/>
              </w:rPr>
              <w:t>d’orientation et de dialogue</w:t>
            </w:r>
            <w:r w:rsidR="004E1075">
              <w:rPr>
                <w:rFonts w:ascii="Arial Narrow" w:hAnsi="Arial Narrow"/>
                <w:sz w:val="20"/>
                <w:u w:val="single"/>
              </w:rPr>
              <w:t xml:space="preserve"> (COD)</w:t>
            </w:r>
            <w:r w:rsidRPr="00A6485F">
              <w:rPr>
                <w:rFonts w:ascii="Arial Narrow" w:hAnsi="Arial Narrow"/>
                <w:sz w:val="20"/>
              </w:rPr>
              <w:t xml:space="preserve"> : </w:t>
            </w:r>
          </w:p>
          <w:p w:rsidR="006D527D" w:rsidRPr="006D527D" w:rsidRDefault="006D527D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6D527D">
              <w:rPr>
                <w:rFonts w:ascii="Arial Narrow" w:hAnsi="Arial Narrow"/>
                <w:sz w:val="20"/>
              </w:rPr>
              <w:t>Contribuer à l’animation du groupe de travail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37898">
              <w:rPr>
                <w:rFonts w:ascii="Arial Narrow" w:hAnsi="Arial Narrow"/>
                <w:sz w:val="20"/>
              </w:rPr>
              <w:t>« </w:t>
            </w:r>
            <w:r w:rsidR="001308D3">
              <w:rPr>
                <w:rFonts w:ascii="Arial Narrow" w:hAnsi="Arial Narrow"/>
                <w:sz w:val="20"/>
              </w:rPr>
              <w:t>open data</w:t>
            </w:r>
            <w:r w:rsidR="00D37898">
              <w:rPr>
                <w:rFonts w:ascii="Arial Narrow" w:hAnsi="Arial Narrow"/>
                <w:sz w:val="20"/>
              </w:rPr>
              <w:t xml:space="preserve"> » </w:t>
            </w:r>
            <w:r w:rsidRPr="006D527D">
              <w:rPr>
                <w:rFonts w:ascii="Arial Narrow" w:hAnsi="Arial Narrow"/>
                <w:sz w:val="20"/>
              </w:rPr>
              <w:t>du Comité d’orientation et de dialogue</w:t>
            </w:r>
            <w:r w:rsidR="001308D3">
              <w:rPr>
                <w:rFonts w:ascii="Arial Narrow" w:hAnsi="Arial Narrow"/>
                <w:sz w:val="20"/>
              </w:rPr>
              <w:t> :</w:t>
            </w:r>
          </w:p>
          <w:p w:rsidR="006D527D" w:rsidRPr="006D527D" w:rsidRDefault="001308D3" w:rsidP="006D527D">
            <w:pPr>
              <w:pStyle w:val="Paragraphedeliste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audition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de parties prenantes</w:t>
            </w:r>
          </w:p>
          <w:p w:rsidR="008A38D9" w:rsidRPr="005F06ED" w:rsidRDefault="008A38D9" w:rsidP="006D527D">
            <w:pPr>
              <w:pStyle w:val="Paragraphedeliste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  <w:u w:val="single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synthèse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et analyse des auditions, participation à la stratégie de </w:t>
            </w:r>
            <w:r w:rsidR="001308D3">
              <w:rPr>
                <w:rFonts w:ascii="Arial Narrow" w:hAnsi="Arial Narrow"/>
                <w:sz w:val="20"/>
              </w:rPr>
              <w:t>consultations</w:t>
            </w:r>
            <w:r>
              <w:rPr>
                <w:rFonts w:ascii="Arial Narrow" w:hAnsi="Arial Narrow"/>
                <w:sz w:val="20"/>
              </w:rPr>
              <w:t xml:space="preserve"> : </w:t>
            </w:r>
            <w:r w:rsidR="001308D3">
              <w:rPr>
                <w:rFonts w:ascii="Arial Narrow" w:hAnsi="Arial Narrow"/>
                <w:sz w:val="20"/>
              </w:rPr>
              <w:t>identifier les besoins de différentes parties prenantes en termes de données de santé</w:t>
            </w:r>
            <w:r>
              <w:rPr>
                <w:rFonts w:ascii="Arial Narrow" w:hAnsi="Arial Narrow"/>
                <w:sz w:val="20"/>
              </w:rPr>
              <w:t xml:space="preserve">, </w:t>
            </w:r>
          </w:p>
          <w:p w:rsidR="008A38D9" w:rsidRPr="001308D3" w:rsidRDefault="008A38D9" w:rsidP="001308D3">
            <w:pPr>
              <w:pStyle w:val="Paragraphedeliste"/>
              <w:numPr>
                <w:ilvl w:val="1"/>
                <w:numId w:val="4"/>
              </w:numPr>
              <w:jc w:val="both"/>
              <w:rPr>
                <w:rFonts w:ascii="Arial Narrow" w:hAnsi="Arial Narrow"/>
                <w:sz w:val="20"/>
                <w:u w:val="single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o</w:t>
            </w:r>
            <w:r w:rsidRPr="005F06ED">
              <w:rPr>
                <w:rFonts w:ascii="Arial Narrow" w:hAnsi="Arial Narrow"/>
                <w:sz w:val="20"/>
              </w:rPr>
              <w:t>rganisation</w:t>
            </w:r>
            <w:proofErr w:type="gramEnd"/>
            <w:r w:rsidRPr="005F06ED">
              <w:rPr>
                <w:rFonts w:ascii="Arial Narrow" w:hAnsi="Arial Narrow"/>
                <w:sz w:val="20"/>
              </w:rPr>
              <w:t xml:space="preserve"> de </w:t>
            </w:r>
            <w:r w:rsidR="001308D3">
              <w:rPr>
                <w:rFonts w:ascii="Arial Narrow" w:hAnsi="Arial Narrow"/>
                <w:sz w:val="20"/>
              </w:rPr>
              <w:t>réunions</w:t>
            </w:r>
            <w:r>
              <w:rPr>
                <w:rFonts w:ascii="Arial Narrow" w:hAnsi="Arial Narrow"/>
                <w:sz w:val="20"/>
              </w:rPr>
              <w:t xml:space="preserve"> avec les parties prenantes</w:t>
            </w:r>
            <w:r w:rsidR="001308D3">
              <w:rPr>
                <w:rFonts w:ascii="Arial Narrow" w:hAnsi="Arial Narrow"/>
                <w:sz w:val="20"/>
              </w:rPr>
              <w:t xml:space="preserve"> sur la question des données de santé,</w:t>
            </w:r>
          </w:p>
          <w:p w:rsidR="001308D3" w:rsidRPr="001308D3" w:rsidRDefault="001308D3" w:rsidP="00D758AA">
            <w:pPr>
              <w:pStyle w:val="Paragraphedeliste"/>
              <w:ind w:left="1440"/>
              <w:jc w:val="both"/>
              <w:rPr>
                <w:rFonts w:ascii="Arial Narrow" w:hAnsi="Arial Narrow"/>
                <w:sz w:val="20"/>
                <w:u w:val="single"/>
              </w:rPr>
            </w:pPr>
          </w:p>
          <w:p w:rsidR="00D37898" w:rsidRPr="00D37898" w:rsidRDefault="00D37898" w:rsidP="00D37898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Contribuer à l’animation du groupe de travail « Santé Environnement » du Comité pour organiser une séminaire de travail </w:t>
            </w:r>
            <w:r w:rsidR="001308D3">
              <w:rPr>
                <w:rFonts w:ascii="Arial Narrow" w:hAnsi="Arial Narrow"/>
                <w:sz w:val="20"/>
              </w:rPr>
              <w:t xml:space="preserve">en décembre 2024 ou premier semestre 2025 </w:t>
            </w:r>
            <w:r>
              <w:rPr>
                <w:rFonts w:ascii="Arial Narrow" w:hAnsi="Arial Narrow"/>
                <w:sz w:val="20"/>
              </w:rPr>
              <w:t>sur la communication en santé environnementale dans un contexte d’incertitude, en lien avec la Direction Santé Environnement Travail (DSET) et la Direction Prévention et Promotion de la Santé : identification d’experts et d’expériences d’intérêt men</w:t>
            </w:r>
            <w:r w:rsidRPr="000978FE">
              <w:rPr>
                <w:rFonts w:ascii="Arial Narrow" w:hAnsi="Arial Narrow"/>
                <w:sz w:val="20"/>
              </w:rPr>
              <w:t>ées à Santé publique France</w:t>
            </w:r>
            <w:r w:rsidRPr="001A143C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et dans d’autres agences, appui à la définition du programme du séminaire (rédaction de comptes rendus de réunions préparatoire, contribution à la rédaction des conclusions du séminaire).</w:t>
            </w:r>
          </w:p>
          <w:p w:rsidR="008A38D9" w:rsidRDefault="008A38D9" w:rsidP="00E724BE">
            <w:pPr>
              <w:jc w:val="both"/>
              <w:rPr>
                <w:rFonts w:ascii="Arial Narrow" w:hAnsi="Arial Narrow"/>
                <w:sz w:val="20"/>
                <w:u w:val="single"/>
              </w:rPr>
            </w:pPr>
          </w:p>
          <w:p w:rsidR="00BF05F2" w:rsidRDefault="008A38D9" w:rsidP="00BF05F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 xml:space="preserve">Contribution au </w:t>
            </w:r>
            <w:r w:rsidRPr="008A38D9">
              <w:rPr>
                <w:rFonts w:ascii="Arial Narrow" w:hAnsi="Arial Narrow"/>
                <w:sz w:val="20"/>
                <w:u w:val="single"/>
              </w:rPr>
              <w:t xml:space="preserve">développement </w:t>
            </w:r>
            <w:r w:rsidR="001308D3">
              <w:rPr>
                <w:rFonts w:ascii="Arial Narrow" w:hAnsi="Arial Narrow"/>
                <w:sz w:val="20"/>
                <w:u w:val="single"/>
              </w:rPr>
              <w:t>de la stratégie d’ouverture et de dialogue avec la société de Santé publique France</w:t>
            </w:r>
            <w:r w:rsidR="00BF05F2">
              <w:rPr>
                <w:rFonts w:ascii="Arial Narrow" w:hAnsi="Arial Narrow"/>
                <w:sz w:val="20"/>
              </w:rPr>
              <w:t xml:space="preserve"> : </w:t>
            </w:r>
          </w:p>
          <w:p w:rsidR="00825BC9" w:rsidRDefault="00825BC9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Appui à l’organisation des réunions de </w:t>
            </w:r>
            <w:proofErr w:type="spellStart"/>
            <w:r>
              <w:rPr>
                <w:rFonts w:ascii="Arial Narrow" w:hAnsi="Arial Narrow"/>
                <w:sz w:val="20"/>
              </w:rPr>
              <w:t>co</w:t>
            </w:r>
            <w:proofErr w:type="spellEnd"/>
            <w:r>
              <w:rPr>
                <w:rFonts w:ascii="Arial Narrow" w:hAnsi="Arial Narrow"/>
                <w:sz w:val="20"/>
              </w:rPr>
              <w:t>-pilotage de la stratégie d’ouverture et de dialogue avec la société de Santé publique France</w:t>
            </w:r>
          </w:p>
          <w:p w:rsidR="001308D3" w:rsidRPr="00825BC9" w:rsidRDefault="001308D3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825BC9">
              <w:rPr>
                <w:rFonts w:ascii="Arial Narrow" w:hAnsi="Arial Narrow"/>
                <w:sz w:val="20"/>
              </w:rPr>
              <w:t xml:space="preserve">Organisation et suivi de la mission d’accompagnement et de conseil de la Commission nationale du débat public </w:t>
            </w:r>
            <w:r w:rsidR="00825BC9">
              <w:rPr>
                <w:rFonts w:ascii="Arial Narrow" w:hAnsi="Arial Narrow"/>
                <w:sz w:val="20"/>
              </w:rPr>
              <w:t xml:space="preserve">(CNDP) </w:t>
            </w:r>
            <w:r w:rsidRPr="00825BC9">
              <w:rPr>
                <w:rFonts w:ascii="Arial Narrow" w:hAnsi="Arial Narrow"/>
                <w:sz w:val="20"/>
              </w:rPr>
              <w:t xml:space="preserve">sur l’ouverture de Santé publique France à la participation citoyenne ; </w:t>
            </w:r>
          </w:p>
          <w:p w:rsidR="00825BC9" w:rsidRPr="00D758AA" w:rsidRDefault="001308D3" w:rsidP="00D758A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 w:rsidRPr="00825BC9">
              <w:rPr>
                <w:rFonts w:ascii="Arial Narrow" w:hAnsi="Arial Narrow"/>
                <w:sz w:val="20"/>
              </w:rPr>
              <w:t>Organisation d’une consultation interne à Santé publique France, avec</w:t>
            </w:r>
            <w:r w:rsidR="00825BC9">
              <w:rPr>
                <w:rFonts w:ascii="Arial Narrow" w:hAnsi="Arial Narrow"/>
                <w:sz w:val="20"/>
              </w:rPr>
              <w:t xml:space="preserve"> l’accompagnement de la CNDP ;</w:t>
            </w:r>
          </w:p>
          <w:p w:rsidR="00825BC9" w:rsidRDefault="00825BC9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Organisation de rencontres entre les cellules régionales de Santé publique France et le réseau des garants de la CNDP</w:t>
            </w:r>
          </w:p>
          <w:p w:rsidR="00825BC9" w:rsidRPr="00825BC9" w:rsidRDefault="00825BC9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Préparation d’une consultation de la Conférence nationale de santé ;</w:t>
            </w:r>
          </w:p>
          <w:p w:rsidR="002F0A01" w:rsidRPr="002F0A01" w:rsidRDefault="00825BC9" w:rsidP="006D527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Organisation de conférences sur la démocratie participative (les jeudis de Santé publique France) </w:t>
            </w:r>
          </w:p>
          <w:p w:rsidR="006D527D" w:rsidRPr="00F31679" w:rsidRDefault="006D527D" w:rsidP="001308D3">
            <w:pPr>
              <w:jc w:val="both"/>
              <w:rPr>
                <w:rFonts w:ascii="Arial Narrow" w:eastAsia="Times New Roman" w:hAnsi="Arial Narrow" w:cs="Calibri"/>
                <w:color w:val="000000"/>
                <w:sz w:val="20"/>
                <w:lang w:eastAsia="fr-FR"/>
              </w:rPr>
            </w:pP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5B2BF5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7D6C98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  <w:t>PROFIL RECHERCHE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Default="00FD0757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Entrée en 2024 dans un cursus de </w:t>
            </w:r>
            <w:r w:rsidR="008A38D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M2</w:t>
            </w:r>
          </w:p>
          <w:p w:rsidR="008A38D9" w:rsidRPr="00F81DCB" w:rsidRDefault="008A38D9" w:rsidP="005B2BF5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D41826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Diplôme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3C682B" w:rsidRDefault="008A38D9">
            <w:pPr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Sciences Politiques, Politiques de santé</w:t>
            </w:r>
            <w:r w:rsidR="00825BC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, Santé publique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D41826" w:rsidRDefault="008A38D9" w:rsidP="005B2BF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F81DCB" w:rsidRDefault="008A38D9" w:rsidP="003C682B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8A38D9" w:rsidTr="002F0A0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2236E2" w:rsidRDefault="008A38D9" w:rsidP="00BC41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2236E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Aptitudes et </w:t>
            </w:r>
          </w:p>
          <w:p w:rsidR="008A38D9" w:rsidRPr="002236E2" w:rsidRDefault="008A38D9" w:rsidP="00BC41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2236E2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A38D9" w:rsidRPr="00AF487B" w:rsidRDefault="008A38D9" w:rsidP="00AF487B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AF487B">
              <w:rPr>
                <w:rFonts w:ascii="Arial Narrow" w:hAnsi="Arial Narrow"/>
                <w:sz w:val="20"/>
                <w:szCs w:val="20"/>
                <w:lang w:eastAsia="fr-FR"/>
              </w:rPr>
              <w:t xml:space="preserve">Il est attendu pour ce poste : </w:t>
            </w:r>
          </w:p>
          <w:p w:rsidR="008A38D9" w:rsidRPr="00AF487B" w:rsidRDefault="008A38D9" w:rsidP="00AF487B">
            <w:pPr>
              <w:rPr>
                <w:rFonts w:ascii="Arial Narrow" w:hAnsi="Arial Narrow"/>
                <w:sz w:val="20"/>
                <w:szCs w:val="20"/>
                <w:u w:val="single"/>
                <w:lang w:eastAsia="fr-FR"/>
              </w:rPr>
            </w:pPr>
            <w:r w:rsidRPr="00AF487B">
              <w:rPr>
                <w:rFonts w:ascii="Arial Narrow" w:hAnsi="Arial Narrow"/>
                <w:sz w:val="20"/>
                <w:szCs w:val="20"/>
                <w:u w:val="single"/>
                <w:lang w:eastAsia="fr-FR"/>
              </w:rPr>
              <w:t xml:space="preserve">Connaissances : </w:t>
            </w:r>
          </w:p>
          <w:p w:rsidR="00825BC9" w:rsidRDefault="00825BC9" w:rsidP="00AF487B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Intérêt pour les sujets de démocratie participative, concertation ;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 xml:space="preserve">Intérêt pour les politiques publiques et le secteur de la santé publique ; </w:t>
            </w:r>
          </w:p>
          <w:p w:rsidR="008A38D9" w:rsidRDefault="008A38D9" w:rsidP="00AF487B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  <w:p w:rsidR="008A38D9" w:rsidRDefault="008A38D9" w:rsidP="00AF487B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A6485F">
              <w:rPr>
                <w:rFonts w:ascii="Arial Narrow" w:hAnsi="Arial Narrow"/>
                <w:sz w:val="20"/>
                <w:szCs w:val="20"/>
                <w:u w:val="single"/>
                <w:lang w:eastAsia="fr-FR"/>
              </w:rPr>
              <w:t>Compétences fonctionnelles</w:t>
            </w:r>
            <w:r>
              <w:rPr>
                <w:rFonts w:ascii="Arial Narrow" w:hAnsi="Arial Narrow"/>
                <w:sz w:val="20"/>
                <w:szCs w:val="20"/>
                <w:lang w:eastAsia="fr-FR"/>
              </w:rPr>
              <w:t> :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Rédaction de documents d’informations et capacité à les présenter à différents publics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, notes de synthèses ;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Réaliser des carto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graphies de parties prenantes ;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Capa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cités d’analyse et de synthèse,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Organ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iser des réunions, webinaires ;</w:t>
            </w:r>
          </w:p>
          <w:p w:rsidR="008A38D9" w:rsidRDefault="008A38D9" w:rsidP="00AF487B">
            <w:pPr>
              <w:pStyle w:val="Paragraphedeliste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Maîtrise des outils bureauti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ques (Word, Excel, PowerPoint).</w:t>
            </w:r>
          </w:p>
          <w:p w:rsidR="008A38D9" w:rsidRDefault="008A38D9" w:rsidP="00A6485F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</w:p>
          <w:p w:rsidR="008A38D9" w:rsidRDefault="008A38D9" w:rsidP="00A6485F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r w:rsidRPr="00A6485F">
              <w:rPr>
                <w:rFonts w:ascii="Arial Narrow" w:hAnsi="Arial Narrow"/>
                <w:sz w:val="20"/>
                <w:szCs w:val="20"/>
                <w:u w:val="single"/>
                <w:lang w:eastAsia="fr-FR"/>
              </w:rPr>
              <w:t>Compétences relationnelles</w:t>
            </w:r>
            <w:r>
              <w:rPr>
                <w:rFonts w:ascii="Arial Narrow" w:hAnsi="Arial Narrow"/>
                <w:sz w:val="20"/>
                <w:szCs w:val="20"/>
                <w:lang w:eastAsia="fr-FR"/>
              </w:rPr>
              <w:t xml:space="preserve"> : </w:t>
            </w:r>
          </w:p>
          <w:p w:rsidR="008A38D9" w:rsidRDefault="008A38D9" w:rsidP="00A6485F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>Excellent relationnel avec l’e</w:t>
            </w:r>
            <w:r w:rsidR="0007650F">
              <w:rPr>
                <w:rFonts w:ascii="Arial Narrow" w:hAnsi="Arial Narrow"/>
                <w:sz w:val="20"/>
                <w:szCs w:val="20"/>
                <w:lang w:eastAsia="fr-FR"/>
              </w:rPr>
              <w:t>nsemble des parties prenantes ;</w:t>
            </w:r>
          </w:p>
          <w:p w:rsidR="008A38D9" w:rsidRDefault="008A38D9" w:rsidP="00A6485F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 xml:space="preserve">Bonne communication orale et écrite, capacité à informer ; </w:t>
            </w:r>
          </w:p>
          <w:p w:rsidR="008A38D9" w:rsidRDefault="008A38D9" w:rsidP="00A6485F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lastRenderedPageBreak/>
              <w:t xml:space="preserve">Autonomie, initiative et force de proposition ; </w:t>
            </w:r>
          </w:p>
          <w:p w:rsidR="008A38D9" w:rsidRDefault="008A38D9" w:rsidP="00A6485F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 xml:space="preserve">Aptitudes au travail en équipe et qualités organisationnelles ; </w:t>
            </w:r>
          </w:p>
          <w:p w:rsidR="008A38D9" w:rsidRDefault="008A38D9" w:rsidP="00A6485F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  <w:lang w:eastAsia="fr-FR"/>
              </w:rPr>
              <w:t xml:space="preserve">Esprit d’analyse et de synthèse ; </w:t>
            </w:r>
          </w:p>
          <w:p w:rsidR="008A38D9" w:rsidRPr="00AF487B" w:rsidRDefault="008A38D9" w:rsidP="00AF487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F487B">
              <w:rPr>
                <w:rFonts w:ascii="Arial Narrow" w:hAnsi="Arial Narrow"/>
                <w:sz w:val="20"/>
                <w:szCs w:val="20"/>
                <w:lang w:eastAsia="fr-FR"/>
              </w:rPr>
              <w:t> </w:t>
            </w: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vAlign w:val="center"/>
          </w:tcPr>
          <w:p w:rsidR="008A38D9" w:rsidRPr="007D6C98" w:rsidRDefault="008A38D9" w:rsidP="00BC417F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fr-FR"/>
              </w:rPr>
              <w:lastRenderedPageBreak/>
              <w:t>POUR POSTULER</w:t>
            </w:r>
          </w:p>
        </w:tc>
      </w:tr>
      <w:tr w:rsidR="008A38D9" w:rsidTr="002F0A01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8D9" w:rsidRPr="00620579" w:rsidRDefault="008A38D9" w:rsidP="00FD0757">
            <w:pPr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62057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Adresser les candidatures (lettre de motivation + CV) en i</w:t>
            </w:r>
            <w:r w:rsidR="00A60121" w:rsidRPr="0062057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n</w:t>
            </w:r>
            <w:r w:rsidR="00FD0757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diquant la référence DSIN-1 - 2024</w:t>
            </w:r>
            <w:r w:rsidRPr="0062057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 xml:space="preserve"> à : </w:t>
            </w:r>
            <w:r w:rsidR="00620579" w:rsidRPr="0062057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nathalie.lefevre</w:t>
            </w:r>
            <w:r w:rsidRPr="0062057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@santepubliquefrance.fr</w:t>
            </w:r>
          </w:p>
        </w:tc>
      </w:tr>
    </w:tbl>
    <w:p w:rsidR="0017693D" w:rsidRDefault="0017693D" w:rsidP="00F9602C">
      <w:pPr>
        <w:rPr>
          <w:rFonts w:ascii="Arial Narrow" w:eastAsia="Times New Roman" w:hAnsi="Arial Narrow" w:cs="Arial"/>
          <w:sz w:val="16"/>
          <w:szCs w:val="16"/>
          <w:lang w:eastAsia="fr-FR"/>
        </w:rPr>
      </w:pPr>
    </w:p>
    <w:sectPr w:rsidR="0017693D" w:rsidSect="007104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4FD"/>
    <w:multiLevelType w:val="hybridMultilevel"/>
    <w:tmpl w:val="F806B942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23DE"/>
    <w:multiLevelType w:val="hybridMultilevel"/>
    <w:tmpl w:val="98F80800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7C3"/>
    <w:multiLevelType w:val="hybridMultilevel"/>
    <w:tmpl w:val="758E3E80"/>
    <w:lvl w:ilvl="0" w:tplc="D56E9712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E439F"/>
    <w:multiLevelType w:val="hybridMultilevel"/>
    <w:tmpl w:val="BBB0E0D6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6190"/>
    <w:multiLevelType w:val="hybridMultilevel"/>
    <w:tmpl w:val="45A2B2DC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125D5"/>
    <w:multiLevelType w:val="hybridMultilevel"/>
    <w:tmpl w:val="3C7A7F70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7A7C"/>
    <w:multiLevelType w:val="hybridMultilevel"/>
    <w:tmpl w:val="5338DDEA"/>
    <w:lvl w:ilvl="0" w:tplc="445CCA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843"/>
    <w:multiLevelType w:val="hybridMultilevel"/>
    <w:tmpl w:val="3D54137A"/>
    <w:lvl w:ilvl="0" w:tplc="445CCA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43CC9"/>
    <w:multiLevelType w:val="hybridMultilevel"/>
    <w:tmpl w:val="590A5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0752"/>
    <w:multiLevelType w:val="hybridMultilevel"/>
    <w:tmpl w:val="E4A41F4E"/>
    <w:lvl w:ilvl="0" w:tplc="445CCA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B96"/>
    <w:multiLevelType w:val="hybridMultilevel"/>
    <w:tmpl w:val="ACDAAB60"/>
    <w:lvl w:ilvl="0" w:tplc="6E50602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6D76"/>
    <w:multiLevelType w:val="hybridMultilevel"/>
    <w:tmpl w:val="3434002C"/>
    <w:lvl w:ilvl="0" w:tplc="690EC0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D"/>
    <w:rsid w:val="000170A2"/>
    <w:rsid w:val="0007650F"/>
    <w:rsid w:val="00081E2F"/>
    <w:rsid w:val="000978FE"/>
    <w:rsid w:val="000A4BEF"/>
    <w:rsid w:val="000B1002"/>
    <w:rsid w:val="001308D3"/>
    <w:rsid w:val="00173122"/>
    <w:rsid w:val="0017693D"/>
    <w:rsid w:val="001B0B8E"/>
    <w:rsid w:val="001B27D0"/>
    <w:rsid w:val="002236E2"/>
    <w:rsid w:val="002372E6"/>
    <w:rsid w:val="002A5E25"/>
    <w:rsid w:val="002D32D6"/>
    <w:rsid w:val="002F0A01"/>
    <w:rsid w:val="00325D25"/>
    <w:rsid w:val="003A2BA2"/>
    <w:rsid w:val="003C682B"/>
    <w:rsid w:val="003F3003"/>
    <w:rsid w:val="004217A0"/>
    <w:rsid w:val="004450B7"/>
    <w:rsid w:val="004A6AFB"/>
    <w:rsid w:val="004C087A"/>
    <w:rsid w:val="004E1075"/>
    <w:rsid w:val="00533BDE"/>
    <w:rsid w:val="00554451"/>
    <w:rsid w:val="00566700"/>
    <w:rsid w:val="00571B6F"/>
    <w:rsid w:val="00577952"/>
    <w:rsid w:val="005B2BF5"/>
    <w:rsid w:val="005B393A"/>
    <w:rsid w:val="005E5E56"/>
    <w:rsid w:val="005F06ED"/>
    <w:rsid w:val="00613D04"/>
    <w:rsid w:val="00620579"/>
    <w:rsid w:val="00627BAF"/>
    <w:rsid w:val="00643515"/>
    <w:rsid w:val="00645919"/>
    <w:rsid w:val="006D527D"/>
    <w:rsid w:val="007104FD"/>
    <w:rsid w:val="00731540"/>
    <w:rsid w:val="007D2FCE"/>
    <w:rsid w:val="007D3FB0"/>
    <w:rsid w:val="007D5984"/>
    <w:rsid w:val="007D6C98"/>
    <w:rsid w:val="00825BC9"/>
    <w:rsid w:val="0082791A"/>
    <w:rsid w:val="008301C7"/>
    <w:rsid w:val="00832E36"/>
    <w:rsid w:val="00885891"/>
    <w:rsid w:val="008A38D9"/>
    <w:rsid w:val="008D6570"/>
    <w:rsid w:val="0093561A"/>
    <w:rsid w:val="00975F03"/>
    <w:rsid w:val="00997268"/>
    <w:rsid w:val="009C7118"/>
    <w:rsid w:val="009D5184"/>
    <w:rsid w:val="009E0BED"/>
    <w:rsid w:val="00A513C3"/>
    <w:rsid w:val="00A60121"/>
    <w:rsid w:val="00A6485F"/>
    <w:rsid w:val="00A7085F"/>
    <w:rsid w:val="00A760D6"/>
    <w:rsid w:val="00AF487B"/>
    <w:rsid w:val="00B11D55"/>
    <w:rsid w:val="00B12500"/>
    <w:rsid w:val="00B730ED"/>
    <w:rsid w:val="00B7596E"/>
    <w:rsid w:val="00B825C7"/>
    <w:rsid w:val="00BB0AA7"/>
    <w:rsid w:val="00BB21F1"/>
    <w:rsid w:val="00BC417F"/>
    <w:rsid w:val="00BD2365"/>
    <w:rsid w:val="00BE075C"/>
    <w:rsid w:val="00BF05F2"/>
    <w:rsid w:val="00C539D9"/>
    <w:rsid w:val="00C71E90"/>
    <w:rsid w:val="00C745DE"/>
    <w:rsid w:val="00CA5483"/>
    <w:rsid w:val="00CC05E0"/>
    <w:rsid w:val="00CE34FC"/>
    <w:rsid w:val="00D10DFB"/>
    <w:rsid w:val="00D26A3F"/>
    <w:rsid w:val="00D26DA9"/>
    <w:rsid w:val="00D326F9"/>
    <w:rsid w:val="00D37898"/>
    <w:rsid w:val="00D41826"/>
    <w:rsid w:val="00D42615"/>
    <w:rsid w:val="00D474D5"/>
    <w:rsid w:val="00D758AA"/>
    <w:rsid w:val="00DF721E"/>
    <w:rsid w:val="00E141CA"/>
    <w:rsid w:val="00E25BB3"/>
    <w:rsid w:val="00E26204"/>
    <w:rsid w:val="00E5640A"/>
    <w:rsid w:val="00E724BE"/>
    <w:rsid w:val="00EA28B0"/>
    <w:rsid w:val="00EB4BE3"/>
    <w:rsid w:val="00EC4F5F"/>
    <w:rsid w:val="00F07057"/>
    <w:rsid w:val="00F26C60"/>
    <w:rsid w:val="00F31679"/>
    <w:rsid w:val="00F76D2D"/>
    <w:rsid w:val="00F81DCB"/>
    <w:rsid w:val="00F83EC7"/>
    <w:rsid w:val="00F9602C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D2F8-AD43-4BF5-87E8-09152C3B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3D04"/>
    <w:pPr>
      <w:ind w:left="720"/>
      <w:contextualSpacing/>
    </w:pPr>
  </w:style>
  <w:style w:type="character" w:customStyle="1" w:styleId="normaltextrun">
    <w:name w:val="normaltextrun"/>
    <w:basedOn w:val="Policepardfaut"/>
    <w:rsid w:val="002236E2"/>
  </w:style>
  <w:style w:type="character" w:styleId="Lienhypertexte">
    <w:name w:val="Hyperlink"/>
    <w:rsid w:val="00D26A3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326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6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6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6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6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6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mtam.ansp.local/intra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3012-7D40-4A81-9768-40B52008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Nationale de santé Publique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DUDOK Séverine</dc:creator>
  <cp:keywords/>
  <dc:description/>
  <cp:lastModifiedBy>SERRANO Barbara</cp:lastModifiedBy>
  <cp:revision>2</cp:revision>
  <cp:lastPrinted>2023-08-01T13:08:00Z</cp:lastPrinted>
  <dcterms:created xsi:type="dcterms:W3CDTF">2024-07-16T00:24:00Z</dcterms:created>
  <dcterms:modified xsi:type="dcterms:W3CDTF">2024-07-16T00:24:00Z</dcterms:modified>
</cp:coreProperties>
</file>